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iti SC" w:hAnsi="Heiti SC" w:eastAsia="Heiti SC" w:cs="Heiti SC"/>
        </w:rPr>
        <w:t>PMM 渐进式激励管理</w:t>
      </w:r>
    </w:p>
    <w:p>
      <w:pPr>
        <w:pStyle w:val="Subtitle"/>
      </w:pPr>
      <w:r>
        <w:rPr>
          <w:rFonts w:ascii="Heiti SC" w:hAnsi="Heiti SC" w:eastAsia="Heiti SC" w:cs="Heiti SC"/>
        </w:rPr>
        <w:t>Progressive Motivation Management</w:t>
      </w:r>
    </w:p>
    <w:p>
      <w:r>
        <w:rPr>
          <w:rFonts w:ascii="Heiti SC" w:hAnsi="Heiti SC" w:eastAsia="Heiti SC" w:cs="Heiti SC"/>
        </w:rPr>
        <w:t>安全行为对话与改进方法指南  |  面向班组负责人、直线经理与 EHS 从业者</w:t>
      </w:r>
    </w:p>
    <w:p>
      <w:pPr>
        <w:pStyle w:val="Heading1"/>
      </w:pPr>
      <w:r>
        <w:rPr>
          <w:rFonts w:ascii="Heiti SC" w:hAnsi="Heiti SC" w:eastAsia="Heiti SC" w:cs="Heiti SC"/>
        </w:rPr>
        <w:t>目的与边界</w:t>
      </w:r>
    </w:p>
    <w:p>
      <w:r>
        <w:rPr>
          <w:rFonts w:ascii="Heiti SC" w:hAnsi="Heiti SC" w:eastAsia="Heiti SC" w:cs="Heiti SC"/>
        </w:rPr>
        <w:t>帮助管理者和员工共同理解行为发生的情境，约定个人支持、组织改进与正向认可行动，并跟进实际效果。本指南使用 PMM 描述持续对话与改进方法，不代表统一认证标准或固定处分阶梯。</w:t>
      </w:r>
    </w:p>
    <w:p>
      <w:r>
        <w:rPr>
          <w:rFonts w:ascii="Heiti SC" w:hAnsi="Heiti SC" w:eastAsia="Heiti SC" w:cs="Heiti SC"/>
        </w:rPr>
        <w:t>先控制现场风险，再开展对话。对话记录不构成人员定性、纪律处分、作业批准或法规符合性结论。涉及严重行为疑虑时，由授权管理者与人力资源部门按适用程序独立复核。</w:t>
      </w:r>
    </w:p>
    <w:p>
      <w:pPr>
        <w:pStyle w:val="Heading1"/>
      </w:pPr>
      <w:r>
        <w:rPr>
          <w:rFonts w:ascii="Heiti SC" w:hAnsi="Heiti SC" w:eastAsia="Heiti SC" w:cs="Heiti SC"/>
        </w:rPr>
        <w:t>职责与参与</w:t>
      </w:r>
    </w:p>
    <w:p>
      <w:r>
        <w:rPr>
          <w:rFonts w:ascii="Heiti SC" w:hAnsi="Heiti SC" w:eastAsia="Heiti SC" w:cs="Heiti SC"/>
        </w:rPr>
        <w:t>员工或承包商参与事实核对并说明当时视角，可以提出不同意见。直属管理者组织对话，处理工作条件、资源和目标冲突，并落实跟进。EHS 或人因专业人员提供方法支持；授权负责人复核记录及行动。涉及事件时，与调查人员衔接但不替代系统原因调查。</w:t>
      </w:r>
    </w:p>
    <w:p>
      <w:pPr>
        <w:pStyle w:val="Heading1"/>
      </w:pPr>
      <w:r>
        <w:rPr>
          <w:rFonts w:ascii="Heiti SC" w:hAnsi="Heiti SC" w:eastAsia="Heiti SC" w:cs="Heiti SC"/>
        </w:rPr>
        <w:t>开展一次有用的对话</w:t>
      </w:r>
    </w:p>
    <w:p>
      <w:pPr>
        <w:pStyle w:val="Heading2"/>
      </w:pPr>
      <w:r>
        <w:rPr>
          <w:rFonts w:ascii="Heiti SC" w:hAnsi="Heiti SC" w:eastAsia="Heiti SC" w:cs="Heiti SC"/>
        </w:rPr>
        <w:t>1 还原事实并听取视角</w:t>
      </w:r>
    </w:p>
    <w:p>
      <w:r>
        <w:rPr>
          <w:rFonts w:ascii="Heiti SC" w:hAnsi="Heiti SC" w:eastAsia="Heiti SC" w:cs="Heiti SC"/>
        </w:rPr>
        <w:t>尽快安排有尊重、有隐私的对话，通常从一对一开始，必要时提供支持人员。区分直接观察、转述和推测。可问：当时准备怎么做？掌握了什么信息？什么让这个选择看起来合理？避免“态度差”等标签。</w:t>
      </w:r>
    </w:p>
    <w:p>
      <w:pPr>
        <w:pStyle w:val="Heading2"/>
      </w:pPr>
      <w:r>
        <w:rPr>
          <w:rFonts w:ascii="Heiti SC" w:hAnsi="Heiti SC" w:eastAsia="Heiti SC" w:cs="Heiti SC"/>
        </w:rPr>
        <w:t>2 理解工作条件</w:t>
      </w:r>
    </w:p>
    <w:p>
      <w:r>
        <w:rPr>
          <w:rFonts w:ascii="Heiti SC" w:hAnsi="Heiti SC" w:eastAsia="Heiti SC" w:cs="Heiti SC"/>
        </w:rPr>
        <w:t>检查任务与界面、可用工具、干扰、工作负荷、沟通、监督和组织目标。如果另一位同样胜任的人处于相同条件，是否也可能这样做？哪些障碍可由管理者消除？</w:t>
      </w:r>
    </w:p>
    <w:p>
      <w:pPr>
        <w:pStyle w:val="Heading2"/>
      </w:pPr>
      <w:r>
        <w:rPr>
          <w:rFonts w:ascii="Heiti SC" w:hAnsi="Heiti SC" w:eastAsia="Heiti SC" w:cs="Heiti SC"/>
        </w:rPr>
        <w:t>3 约定行动并跟进</w:t>
      </w:r>
    </w:p>
    <w:p>
      <w:r>
        <w:rPr>
          <w:rFonts w:ascii="Heiti SC" w:hAnsi="Heiti SC" w:eastAsia="Heiti SC" w:cs="Heiti SC"/>
        </w:rPr>
        <w:t>同时考虑个人支持和组织改进。写清行动、负责人代号、目标日期与验证依据。与参与者核对记录和不同意见；在目标日期后检查改变是否有效，而不是仅勾选“完成”。</w:t>
      </w:r>
    </w:p>
    <w:p>
      <w:r>
        <w:rPr>
          <w:rFonts w:ascii="Heiti SC" w:hAnsi="Heiti SC" w:eastAsia="Heiti SC" w:cs="Heiti SC"/>
        </w:rPr>
        <w:br w:type="page"/>
      </w:r>
    </w:p>
    <w:p>
      <w:pPr>
        <w:pStyle w:val="Heading1"/>
      </w:pPr>
      <w:r>
        <w:rPr>
          <w:rFonts w:ascii="Heiti SC" w:hAnsi="Heiti SC" w:eastAsia="Heiti SC" w:cs="Heiti SC"/>
        </w:rPr>
        <w:t>待核实的解释与改进方向</w:t>
      </w:r>
    </w:p>
    <w:p>
      <w:r>
        <w:rPr>
          <w:rFonts w:ascii="Heiti SC" w:hAnsi="Heiti SC" w:eastAsia="Heiti SC" w:cs="Heiti SC"/>
        </w:rPr>
        <w:t>以下解释可以并存，勾选不代表确认。行为结果严重或存在个人、公司利益动机，本身不足以判断恶意或鲁莽。信息不足时保留不确定性并继续核实。</w:t>
      </w:r>
    </w:p>
    <w:p>
      <w:pPr>
        <w:pStyle w:val="Heading2"/>
      </w:pPr>
      <w:r>
        <w:rPr>
          <w:rFonts w:ascii="Heiti SC" w:hAnsi="Heiti SC" w:eastAsia="Heiti SC" w:cs="Heiti SC"/>
        </w:rPr>
        <w:t>执行失误或遗忘 Slips and Lapses</w:t>
      </w:r>
    </w:p>
    <w:p>
      <w:r>
        <w:rPr>
          <w:rFonts w:ascii="Heiti SC" w:hAnsi="Heiti SC" w:eastAsia="Heiti SC" w:cs="Heiti SC"/>
        </w:rPr>
        <w:t>意图可能正确，但执行出现偏差或漏做。核对界面、防错设计、提示、干扰和独立复核。不能仅靠增加培训解决此类问题；这不等于培训在所有情境都无效。</w:t>
      </w:r>
    </w:p>
    <w:p>
      <w:pPr>
        <w:pStyle w:val="Heading2"/>
      </w:pPr>
      <w:r>
        <w:rPr>
          <w:rFonts w:ascii="Heiti SC" w:hAnsi="Heiti SC" w:eastAsia="Heiti SC" w:cs="Heiti SC"/>
        </w:rPr>
        <w:t>判断或知识偏差 Mistakes</w:t>
      </w:r>
    </w:p>
    <w:p>
      <w:r>
        <w:rPr>
          <w:rFonts w:ascii="Heiti SC" w:hAnsi="Heiti SC" w:eastAsia="Heiti SC" w:cs="Heiti SC"/>
        </w:rPr>
        <w:t>当时认为错误做法正确。核对信息和程序的准确性、可获得性及能力支持；针对真实缺口开展情景训练、决策辅助和带教。</w:t>
      </w:r>
    </w:p>
    <w:p>
      <w:pPr>
        <w:pStyle w:val="Heading2"/>
      </w:pPr>
      <w:r>
        <w:rPr>
          <w:rFonts w:ascii="Heiti SC" w:hAnsi="Heiti SC" w:eastAsia="Heiti SC" w:cs="Heiti SC"/>
        </w:rPr>
        <w:t>情境或例外下偏离 Situational and Exceptional violations</w:t>
      </w:r>
    </w:p>
    <w:p>
      <w:r>
        <w:rPr>
          <w:rFonts w:ascii="Heiti SC" w:hAnsi="Heiti SC" w:eastAsia="Heiti SC" w:cs="Heiti SC"/>
        </w:rPr>
        <w:t>核对规则执行的实际障碍、资源和时间条件，以及可行的安全替代方式。消除障碍，明确停止、求助和升级路径。</w:t>
      </w:r>
    </w:p>
    <w:p>
      <w:pPr>
        <w:pStyle w:val="Heading2"/>
      </w:pPr>
      <w:r>
        <w:rPr>
          <w:rFonts w:ascii="Heiti SC" w:hAnsi="Heiti SC" w:eastAsia="Heiti SC" w:cs="Heiti SC"/>
        </w:rPr>
        <w:t>习惯性偏离 Routine violations</w:t>
      </w:r>
    </w:p>
    <w:p>
      <w:r>
        <w:rPr>
          <w:rFonts w:ascii="Heiti SC" w:hAnsi="Heiti SC" w:eastAsia="Heiti SC" w:cs="Heiti SC"/>
        </w:rPr>
        <w:t>核对日常做法与书面程序的差距、同伴习惯、监督和管理者示范。共同修订可执行规则，处理冲突目标并验证效果。</w:t>
      </w:r>
    </w:p>
    <w:p>
      <w:pPr>
        <w:pStyle w:val="Heading2"/>
      </w:pPr>
      <w:r>
        <w:rPr>
          <w:rFonts w:ascii="Heiti SC" w:hAnsi="Heiti SC" w:eastAsia="Heiti SC" w:cs="Heiti SC"/>
        </w:rPr>
        <w:t>信息不足或解释并存 Uncertain or Mixed</w:t>
      </w:r>
    </w:p>
    <w:p>
      <w:r>
        <w:rPr>
          <w:rFonts w:ascii="Heiti SC" w:hAnsi="Heiti SC" w:eastAsia="Heiti SC" w:cs="Heiti SC"/>
        </w:rPr>
        <w:t>继续听取不同视角、补充客观依据，明确哪些信息尚未核实。不要为了填完表格而强行选择唯一类别。</w:t>
      </w:r>
    </w:p>
    <w:p>
      <w:pPr>
        <w:pStyle w:val="Heading1"/>
      </w:pPr>
      <w:r>
        <w:rPr>
          <w:rFonts w:ascii="Heiti SC" w:hAnsi="Heiti SC" w:eastAsia="Heiti SC" w:cs="Heiti SC"/>
        </w:rPr>
        <w:t>正向认可与恢复信任</w:t>
      </w:r>
    </w:p>
    <w:p>
      <w:r>
        <w:rPr>
          <w:rFonts w:ascii="Heiti SC" w:hAnsi="Heiti SC" w:eastAsia="Heiti SC" w:cs="Heiti SC"/>
        </w:rPr>
        <w:t>具体肯定主动报告、暂停工作、求助、支持同伴和改善工作条件的行为；同时识别使这些行为成为可能的组织支持。不要用“零事故”或“零报告”奖励代替真实参与，以免压制报告。</w:t>
      </w:r>
    </w:p>
    <w:p>
      <w:r>
        <w:rPr>
          <w:rFonts w:ascii="Heiti SC" w:hAnsi="Heiti SC" w:eastAsia="Heiti SC" w:cs="Heiti SC"/>
        </w:rPr>
        <w:t>分享、带教或安全倡导等安排应征得参与者同意并给予能力支持。不要强制公开身份、公开检讨或讲述经历。对话后的恢复信任也包括兑现管理层承诺，允许纠正不准确的记录。</w:t>
      </w:r>
    </w:p>
    <w:p>
      <w:r>
        <w:rPr>
          <w:rFonts w:ascii="Heiti SC" w:hAnsi="Heiti SC" w:eastAsia="Heiti SC" w:cs="Heiti SC"/>
        </w:rPr>
        <w:br w:type="page"/>
      </w:r>
    </w:p>
    <w:p>
      <w:pPr>
        <w:pStyle w:val="Heading1"/>
      </w:pPr>
      <w:r>
        <w:rPr>
          <w:rFonts w:ascii="Heiti SC" w:hAnsi="Heiti SC" w:eastAsia="Heiti SC" w:cs="Heiti SC"/>
        </w:rPr>
        <w:t>如何使用表格与在线工具</w:t>
      </w:r>
    </w:p>
    <w:p>
      <w:r>
        <w:rPr>
          <w:rFonts w:ascii="Heiti SC" w:hAnsi="Heiti SC" w:eastAsia="Heiti SC" w:cs="Heiti SC"/>
        </w:rPr>
        <w:t>Excel 模板包含“填写说明”“对话记录”“行动跟进”“解释参考”四张表。蓝色区域供填写；空白不是安全结论。行动状态由使用者人工填写，标记为“已验证”仍须由授权人员核实证据。</w:t>
      </w:r>
    </w:p>
    <w:p>
      <w:r>
        <w:rPr>
          <w:rFonts w:ascii="Heiti SC" w:hAnsi="Heiti SC" w:eastAsia="Heiti SC" w:cs="Heiti SC"/>
        </w:rPr>
        <w:t>在线工作区提供改进对话和正向认可两条路径，可生成预览、Excel 记录及浏览器打印稿。内容不上传、不自动保存，刷新或关闭页面后清除；离开前请导出并检查文件。</w:t>
      </w:r>
    </w:p>
    <w:p>
      <w:r>
        <w:rPr>
          <w:rFonts w:ascii="Heiti SC" w:hAnsi="Heiti SC" w:eastAsia="Heiti SC" w:cs="Heiti SC"/>
        </w:rPr>
        <w:t>在线入口：https://ehs-sil.com/tools/pmm-coach.html</w:t>
      </w:r>
    </w:p>
    <w:p>
      <w:pPr>
        <w:pStyle w:val="Heading1"/>
      </w:pPr>
      <w:r>
        <w:rPr>
          <w:rFonts w:ascii="Heiti SC" w:hAnsi="Heiti SC" w:eastAsia="Heiti SC" w:cs="Heiti SC"/>
        </w:rPr>
        <w:t>隐私与文件保管</w:t>
      </w:r>
    </w:p>
    <w:p>
      <w:r>
        <w:rPr>
          <w:rFonts w:ascii="Heiti SC" w:hAnsi="Heiti SC" w:eastAsia="Heiti SC" w:cs="Heiti SC"/>
        </w:rPr>
        <w:t>只使用岗位或人员代号，不填写姓名、工号、联系方式、健康隐私或商业秘密。证据使用代号，不粘贴原始人员资料。分享前再次审核自由文本、附件、文件属性和可识别场景。保存位置、访问权限和留存期限按企业适用规则确定。</w:t>
      </w:r>
    </w:p>
    <w:p>
      <w:pPr>
        <w:pStyle w:val="Heading1"/>
      </w:pPr>
      <w:r>
        <w:rPr>
          <w:rFonts w:ascii="Heiti SC" w:hAnsi="Heiti SC" w:eastAsia="Heiti SC" w:cs="Heiti SC"/>
        </w:rPr>
        <w:t>专业参考</w:t>
      </w:r>
    </w:p>
    <w:p>
      <w:r>
        <w:rPr>
          <w:rFonts w:ascii="Heiti SC" w:hAnsi="Heiti SC" w:eastAsia="Heiti SC" w:cs="Heiti SC"/>
        </w:rPr>
        <w:t>HSE 英国健康与安全执行局：Human failure 人因失误。https://www.hse.gov.uk/humanfactors/topics/humanfail.htm</w:t>
      </w:r>
    </w:p>
    <w:p>
      <w:r>
        <w:rPr>
          <w:rFonts w:ascii="Heiti SC" w:hAnsi="Heiti SC" w:eastAsia="Heiti SC" w:cs="Heiti SC"/>
        </w:rPr>
        <w:t>HSE：Types of human failure 失误类型。https://www.hse.gov.uk/humanfactors/assets/docs/types.pdf</w:t>
      </w:r>
    </w:p>
    <w:p>
      <w:r>
        <w:rPr>
          <w:rFonts w:ascii="Heiti SC" w:hAnsi="Heiti SC" w:eastAsia="Heiti SC" w:cs="Heiti SC"/>
        </w:rPr>
        <w:t>HSE：Performance influencing factors 绩效影响因素。https://www.hse.gov.uk/humanfactors/assets/docs/pifs.pdf</w:t>
      </w:r>
    </w:p>
    <w:p>
      <w:r>
        <w:rPr>
          <w:rFonts w:ascii="Heiti SC" w:hAnsi="Heiti SC" w:eastAsia="Heiti SC" w:cs="Heiti SC"/>
        </w:rPr>
        <w:t>OSHA 美国职业安全健康管理局：Worker participation 员工参与。https://www.osha.gov/safety-management/worker-participation</w:t>
      </w:r>
    </w:p>
    <w:p>
      <w:r>
        <w:rPr>
          <w:rFonts w:ascii="Heiti SC" w:hAnsi="Heiti SC" w:eastAsia="Heiti SC" w:cs="Heiti SC"/>
        </w:rPr>
        <w:t>NHS England 英格兰国家医疗服务体系：Being fair tool 公平对待工具。https://www.england.nhs.uk/publication/being-fair-tool/。仅借鉴情境与支持复核思路，该参考适用于医疗行业，不是工业处分标准。</w:t>
      </w:r>
    </w:p>
    <w:p>
      <w:r>
        <w:rPr>
          <w:rFonts w:ascii="Heiti SC" w:hAnsi="Heiti SC" w:eastAsia="Heiti SC" w:cs="Heiti SC"/>
        </w:rPr>
        <w:t>来源核验日期：2026-09-18。上述内容为方法参考；企业制度采用前应经内部专业、管理及必要的人力资源审核。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Heiti SC" w:hAnsi="Heiti SC" w:eastAsia="Heiti SC" w:cs="Heiti SC"/>
      </w:rPr>
      <w:t>PMM-2026.09-v1  ·  EHS-SIL  ·  2026-09-19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Heiti SC" w:hAnsi="Heiti SC" w:eastAsia="Heiti SC" w:cs="Heiti SC"/>
      </w:rPr>
      <w:t>EHS-SIL   /   外企 EHS 工具与成长工作台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Heiti SC" w:hAnsi="Heiti SC" w:eastAsia="Hei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eiti SC" w:hAnsi="Heiti SC" w:eastAsia="Heiti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eiti SC" w:hAnsi="Heiti SC" w:eastAsia="Heiti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Heiti SC" w:hAnsi="Heiti SC" w:eastAsia="Heiti SC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eiti SC" w:hAnsi="Heiti SC" w:eastAsia="Heiti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PMM 渐进式激励管理方法指南</dc:title>
  <dc:subject>PMM 安全行为对话指南</dc:subject>
  <dc:creator>EHS-SIL</dc:creator>
  <cp:keywords/>
  <dc:description/>
  <cp:lastModifiedBy>EHS-SIL</cp:lastModifiedBy>
  <cp:revision>1</cp:revision>
  <dcterms:created xsi:type="dcterms:W3CDTF">2013-12-23T23:15:00Z</dcterms:created>
  <dcterms:modified xsi:type="dcterms:W3CDTF">2013-12-23T23:15:00Z</dcterms:modified>
  <cp:category/>
</cp:coreProperties>
</file>